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EEA05" w14:textId="14E45321" w:rsidR="0062770F" w:rsidRPr="007B73CE" w:rsidRDefault="00BF5329" w:rsidP="007B73CE">
      <w:pPr>
        <w:spacing w:after="0" w:line="240" w:lineRule="auto"/>
        <w:rPr>
          <w:rFonts w:ascii="Arial" w:eastAsia="Arial" w:hAnsi="Arial" w:cs="Arial"/>
          <w:b/>
          <w:bCs/>
          <w:sz w:val="20"/>
          <w:szCs w:val="20"/>
        </w:rPr>
      </w:pPr>
      <w:r>
        <w:rPr>
          <w:rFonts w:ascii="Arial" w:hAnsi="Arial"/>
          <w:b/>
          <w:sz w:val="20"/>
        </w:rPr>
        <w:t>032 Protéger les monts sous-marins et les autres écosystèmes marins vulnérables contre les pratiques destructrices</w:t>
      </w:r>
    </w:p>
    <w:p w14:paraId="148C2AEE" w14:textId="77777777" w:rsidR="007B73CE" w:rsidRPr="007B73CE" w:rsidRDefault="007B73CE" w:rsidP="007B73CE">
      <w:pPr>
        <w:spacing w:after="0" w:line="240" w:lineRule="auto"/>
        <w:rPr>
          <w:rFonts w:ascii="Arial" w:eastAsia="Arial" w:hAnsi="Arial" w:cs="Arial"/>
          <w:sz w:val="20"/>
          <w:szCs w:val="20"/>
        </w:rPr>
      </w:pPr>
    </w:p>
    <w:p w14:paraId="5FAB5414" w14:textId="6B0D6DD0" w:rsidR="007B73CE" w:rsidRDefault="1F69409D" w:rsidP="007B73CE">
      <w:pPr>
        <w:spacing w:after="0" w:line="240" w:lineRule="auto"/>
        <w:rPr>
          <w:rFonts w:ascii="Arial" w:hAnsi="Arial" w:cs="Arial"/>
          <w:sz w:val="20"/>
          <w:szCs w:val="20"/>
        </w:rPr>
      </w:pPr>
      <w:r>
        <w:rPr>
          <w:rFonts w:ascii="Arial" w:hAnsi="Arial"/>
          <w:sz w:val="20"/>
        </w:rPr>
        <w:t xml:space="preserve">RAPPELANT la Résolution 3.066 </w:t>
      </w:r>
      <w:r>
        <w:rPr>
          <w:rFonts w:ascii="Arial" w:hAnsi="Arial"/>
          <w:i/>
          <w:sz w:val="20"/>
        </w:rPr>
        <w:t xml:space="preserve">La protection des monts sous-marins, des coraux des fonds marins et d’autres habitats vulnérables des fonds marins contre des pratiques de pêche destructrices en haute mer, y compris le chalutage de fond </w:t>
      </w:r>
      <w:r>
        <w:rPr>
          <w:rFonts w:ascii="Arial" w:hAnsi="Arial"/>
          <w:sz w:val="20"/>
        </w:rPr>
        <w:t>(Bangkok, 2004) ;</w:t>
      </w:r>
    </w:p>
    <w:p w14:paraId="1477199B" w14:textId="77777777" w:rsidR="007B73CE" w:rsidRDefault="007B73CE" w:rsidP="007B73CE">
      <w:pPr>
        <w:spacing w:after="0" w:line="240" w:lineRule="auto"/>
        <w:rPr>
          <w:rFonts w:ascii="Arial" w:hAnsi="Arial" w:cs="Arial"/>
          <w:sz w:val="20"/>
          <w:szCs w:val="20"/>
        </w:rPr>
      </w:pPr>
    </w:p>
    <w:p w14:paraId="4C69ABAF" w14:textId="4887C5F8" w:rsidR="007B73CE" w:rsidRDefault="1F69409D" w:rsidP="007B73CE">
      <w:pPr>
        <w:spacing w:after="0" w:line="240" w:lineRule="auto"/>
        <w:rPr>
          <w:rFonts w:ascii="Arial" w:hAnsi="Arial" w:cs="Arial"/>
          <w:sz w:val="20"/>
          <w:szCs w:val="20"/>
        </w:rPr>
      </w:pPr>
      <w:r>
        <w:rPr>
          <w:rFonts w:ascii="Arial" w:hAnsi="Arial"/>
          <w:sz w:val="20"/>
        </w:rPr>
        <w:t>RAPPELANT les Résolutions 61/105 (2006) et 64/72 (2009) de l’Assemblée générale des Nations Unies engageant les États à interdire la pêche de fond dans les des zones ne relevant pas de la juridiction nationale dès lors que des écosystèmes marins vulnérables (EMV), notamment des monts sous-marins, ont été repérés ou pourraient exister ;</w:t>
      </w:r>
    </w:p>
    <w:p w14:paraId="5F285DB8" w14:textId="77777777" w:rsidR="007B73CE" w:rsidRDefault="007B73CE" w:rsidP="007B73CE">
      <w:pPr>
        <w:spacing w:after="0" w:line="240" w:lineRule="auto"/>
        <w:rPr>
          <w:rFonts w:ascii="Arial" w:hAnsi="Arial" w:cs="Arial"/>
          <w:sz w:val="20"/>
          <w:szCs w:val="20"/>
        </w:rPr>
      </w:pPr>
    </w:p>
    <w:p w14:paraId="735C12A7" w14:textId="0C13B60A" w:rsidR="007B73CE" w:rsidRDefault="1F69409D" w:rsidP="007B73CE">
      <w:pPr>
        <w:spacing w:after="0" w:line="240" w:lineRule="auto"/>
        <w:rPr>
          <w:rFonts w:ascii="Arial" w:hAnsi="Arial" w:cs="Arial"/>
          <w:sz w:val="20"/>
          <w:szCs w:val="20"/>
        </w:rPr>
      </w:pPr>
      <w:r>
        <w:rPr>
          <w:rFonts w:ascii="Arial" w:hAnsi="Arial"/>
          <w:sz w:val="20"/>
        </w:rPr>
        <w:t>RECONNAISSANT les progrès réalisés depuis 2004 dans la protection des EMV contre les dommages causés par le chalutage de fond, en particulier les efforts déployés par les organismes et arrangements régionaux de gestion des pêches compétents (ORGP/ARGP) qui ont interdit l’accès à certains monts sous-marins ainsi qu’à plusieurs sections des systèmes de dorsales océaniques et d’autres zones où des EMV ont été repérés ou pourraient exister ;</w:t>
      </w:r>
    </w:p>
    <w:p w14:paraId="143D91CE" w14:textId="77777777" w:rsidR="007B73CE" w:rsidRDefault="007B73CE" w:rsidP="007B73CE">
      <w:pPr>
        <w:spacing w:after="0" w:line="240" w:lineRule="auto"/>
        <w:rPr>
          <w:rFonts w:ascii="Arial" w:hAnsi="Arial" w:cs="Arial"/>
          <w:sz w:val="20"/>
          <w:szCs w:val="20"/>
        </w:rPr>
      </w:pPr>
    </w:p>
    <w:p w14:paraId="7926D54D" w14:textId="136EB6D8" w:rsidR="007B73CE" w:rsidRDefault="1F69409D" w:rsidP="007B73CE">
      <w:pPr>
        <w:spacing w:after="0" w:line="240" w:lineRule="auto"/>
        <w:rPr>
          <w:rFonts w:ascii="Arial" w:hAnsi="Arial" w:cs="Arial"/>
          <w:sz w:val="20"/>
          <w:szCs w:val="20"/>
        </w:rPr>
      </w:pPr>
      <w:r>
        <w:rPr>
          <w:rFonts w:ascii="Arial" w:hAnsi="Arial"/>
          <w:sz w:val="20"/>
        </w:rPr>
        <w:t>NOTANT l’exigence contenue dans l’article 194, paragraphe 5, de la Convention des Nations Unies sur le droit de la mer (</w:t>
      </w:r>
      <w:r w:rsidR="00A647B1">
        <w:rPr>
          <w:rFonts w:ascii="Arial" w:hAnsi="Arial"/>
          <w:sz w:val="20"/>
        </w:rPr>
        <w:t>CNUDM</w:t>
      </w:r>
      <w:r>
        <w:rPr>
          <w:rFonts w:ascii="Arial" w:hAnsi="Arial"/>
          <w:sz w:val="20"/>
        </w:rPr>
        <w:t>) en vue de prendre des mesures « nécessaires pour protéger et préserver les écosystèmes rares ou délicats ainsi que l’habitat des espèces et autres organismes marins en régression, menaces ou en voie d’extinction » ;</w:t>
      </w:r>
    </w:p>
    <w:p w14:paraId="4E320F4E" w14:textId="77777777" w:rsidR="007B73CE" w:rsidRDefault="007B73CE" w:rsidP="007B73CE">
      <w:pPr>
        <w:spacing w:after="0" w:line="240" w:lineRule="auto"/>
        <w:rPr>
          <w:rFonts w:ascii="Arial" w:hAnsi="Arial" w:cs="Arial"/>
          <w:sz w:val="20"/>
          <w:szCs w:val="20"/>
        </w:rPr>
      </w:pPr>
    </w:p>
    <w:p w14:paraId="7282E538" w14:textId="0B5531DD" w:rsidR="007B73CE" w:rsidRDefault="1F69409D" w:rsidP="007B73CE">
      <w:pPr>
        <w:spacing w:after="0" w:line="240" w:lineRule="auto"/>
        <w:rPr>
          <w:rFonts w:ascii="Arial" w:eastAsia="Arial" w:hAnsi="Arial" w:cs="Arial"/>
          <w:sz w:val="20"/>
          <w:szCs w:val="20"/>
        </w:rPr>
      </w:pPr>
      <w:r>
        <w:rPr>
          <w:rFonts w:ascii="Arial" w:hAnsi="Arial"/>
          <w:sz w:val="20"/>
        </w:rPr>
        <w:t>NOTANT que l’Assemblée générale des Nations Unies, dans sa Résolution 79/145, reconnait « l’importance et la valeur immenses des écosystèmes des grands fonds marins et de la diversité biologique qu’ils renferment, comme le montre la première Évaluation mondiale de l’océan » ;</w:t>
      </w:r>
    </w:p>
    <w:p w14:paraId="0357077A" w14:textId="77777777" w:rsidR="007B73CE" w:rsidRDefault="007B73CE" w:rsidP="007B73CE">
      <w:pPr>
        <w:spacing w:after="0" w:line="240" w:lineRule="auto"/>
        <w:rPr>
          <w:rFonts w:ascii="Arial" w:eastAsia="Arial" w:hAnsi="Arial" w:cs="Arial"/>
          <w:sz w:val="20"/>
          <w:szCs w:val="20"/>
        </w:rPr>
      </w:pPr>
    </w:p>
    <w:p w14:paraId="01BDC9B3" w14:textId="0BA4EAF7" w:rsidR="007B73CE" w:rsidRDefault="1F69409D" w:rsidP="007B73CE">
      <w:pPr>
        <w:spacing w:after="0" w:line="240" w:lineRule="auto"/>
        <w:rPr>
          <w:rFonts w:ascii="Arial" w:hAnsi="Arial" w:cs="Arial"/>
          <w:sz w:val="20"/>
          <w:szCs w:val="20"/>
        </w:rPr>
      </w:pPr>
      <w:r>
        <w:rPr>
          <w:rFonts w:ascii="Arial" w:hAnsi="Arial"/>
          <w:sz w:val="20"/>
        </w:rPr>
        <w:t xml:space="preserve">RECONNAISSANT la conclusion de la deuxième Évaluation mondiale </w:t>
      </w:r>
      <w:r w:rsidR="007B67AF">
        <w:rPr>
          <w:rFonts w:ascii="Arial" w:hAnsi="Arial"/>
          <w:sz w:val="20"/>
        </w:rPr>
        <w:t xml:space="preserve">2021 </w:t>
      </w:r>
      <w:r>
        <w:rPr>
          <w:rFonts w:ascii="Arial" w:hAnsi="Arial"/>
          <w:sz w:val="20"/>
        </w:rPr>
        <w:t>de l</w:t>
      </w:r>
      <w:r w:rsidR="00A647B1">
        <w:rPr>
          <w:rFonts w:ascii="Arial" w:hAnsi="Arial"/>
          <w:sz w:val="20"/>
        </w:rPr>
        <w:t>’</w:t>
      </w:r>
      <w:r>
        <w:rPr>
          <w:rFonts w:ascii="Arial" w:hAnsi="Arial"/>
          <w:sz w:val="20"/>
        </w:rPr>
        <w:t xml:space="preserve">océan </w:t>
      </w:r>
      <w:r w:rsidR="00A647B1">
        <w:rPr>
          <w:rFonts w:ascii="Arial" w:hAnsi="Arial"/>
          <w:sz w:val="20"/>
        </w:rPr>
        <w:t xml:space="preserve">des Nations Unies </w:t>
      </w:r>
      <w:r>
        <w:rPr>
          <w:rFonts w:ascii="Arial" w:hAnsi="Arial"/>
          <w:sz w:val="20"/>
        </w:rPr>
        <w:t xml:space="preserve">qui indique que « la pêche, en particulier la pêche au chalut de fond, </w:t>
      </w:r>
      <w:proofErr w:type="spellStart"/>
      <w:r>
        <w:rPr>
          <w:rFonts w:ascii="Arial" w:hAnsi="Arial"/>
          <w:sz w:val="20"/>
        </w:rPr>
        <w:t>constitu</w:t>
      </w:r>
      <w:proofErr w:type="spellEnd"/>
      <w:r>
        <w:rPr>
          <w:rFonts w:ascii="Arial" w:hAnsi="Arial"/>
          <w:sz w:val="20"/>
        </w:rPr>
        <w:t>[e] actuellement la menace la plus importante pour les écosystèmes des monts sous-marins » ;</w:t>
      </w:r>
    </w:p>
    <w:p w14:paraId="481B2D4C" w14:textId="77777777" w:rsidR="007B73CE" w:rsidRDefault="007B73CE" w:rsidP="007B73CE">
      <w:pPr>
        <w:spacing w:after="0" w:line="240" w:lineRule="auto"/>
        <w:rPr>
          <w:rFonts w:ascii="Arial" w:hAnsi="Arial" w:cs="Arial"/>
          <w:sz w:val="20"/>
          <w:szCs w:val="20"/>
        </w:rPr>
      </w:pPr>
    </w:p>
    <w:p w14:paraId="7CCD574A" w14:textId="6E396E89" w:rsidR="007B73CE" w:rsidRDefault="1F69409D" w:rsidP="007B73CE">
      <w:pPr>
        <w:spacing w:after="0" w:line="240" w:lineRule="auto"/>
        <w:rPr>
          <w:rFonts w:ascii="Arial" w:hAnsi="Arial" w:cs="Arial"/>
          <w:sz w:val="20"/>
          <w:szCs w:val="20"/>
        </w:rPr>
      </w:pPr>
      <w:r>
        <w:rPr>
          <w:rFonts w:ascii="Arial" w:hAnsi="Arial"/>
          <w:sz w:val="20"/>
        </w:rPr>
        <w:t>NOTANT que dans sa Résolution 79/145, l’Assemblée générale des Nations Unies souligne que tous les États et les ORGP/ARGP compétents doivent d’urgence tenir l’ensemble de leurs engagements ;</w:t>
      </w:r>
      <w:r w:rsidR="007B67AF">
        <w:rPr>
          <w:rFonts w:ascii="Arial" w:hAnsi="Arial"/>
          <w:sz w:val="20"/>
        </w:rPr>
        <w:t xml:space="preserve"> et</w:t>
      </w:r>
    </w:p>
    <w:p w14:paraId="061922E2" w14:textId="77777777" w:rsidR="007B73CE" w:rsidRDefault="007B73CE" w:rsidP="007B73CE">
      <w:pPr>
        <w:spacing w:after="0" w:line="240" w:lineRule="auto"/>
        <w:rPr>
          <w:rFonts w:ascii="Arial" w:hAnsi="Arial" w:cs="Arial"/>
          <w:sz w:val="20"/>
          <w:szCs w:val="20"/>
        </w:rPr>
      </w:pPr>
    </w:p>
    <w:p w14:paraId="4B56E51C" w14:textId="431B5B51" w:rsidR="6CF9E8D1" w:rsidRPr="007B73CE" w:rsidRDefault="1F69409D" w:rsidP="007B73CE">
      <w:pPr>
        <w:spacing w:after="0" w:line="240" w:lineRule="auto"/>
        <w:rPr>
          <w:rFonts w:ascii="Arial" w:eastAsia="Arial" w:hAnsi="Arial" w:cs="Arial"/>
          <w:sz w:val="20"/>
          <w:szCs w:val="20"/>
        </w:rPr>
      </w:pPr>
      <w:r>
        <w:rPr>
          <w:rFonts w:ascii="Arial" w:hAnsi="Arial"/>
          <w:sz w:val="20"/>
        </w:rPr>
        <w:t xml:space="preserve">RAPPELANT la </w:t>
      </w:r>
      <w:r w:rsidRPr="00D06BC8">
        <w:rPr>
          <w:rFonts w:ascii="Arial" w:hAnsi="Arial"/>
          <w:i/>
          <w:iCs/>
          <w:sz w:val="20"/>
        </w:rPr>
        <w:t xml:space="preserve">Leaders’ </w:t>
      </w:r>
      <w:proofErr w:type="spellStart"/>
      <w:r w:rsidRPr="00D06BC8">
        <w:rPr>
          <w:rFonts w:ascii="Arial" w:hAnsi="Arial"/>
          <w:i/>
          <w:iCs/>
          <w:sz w:val="20"/>
        </w:rPr>
        <w:t>Pledge</w:t>
      </w:r>
      <w:proofErr w:type="spellEnd"/>
      <w:r w:rsidRPr="00D06BC8">
        <w:rPr>
          <w:rFonts w:ascii="Arial" w:hAnsi="Arial"/>
          <w:i/>
          <w:iCs/>
          <w:sz w:val="20"/>
        </w:rPr>
        <w:t xml:space="preserve"> for Nature</w:t>
      </w:r>
      <w:r>
        <w:rPr>
          <w:rFonts w:ascii="Arial" w:hAnsi="Arial"/>
          <w:sz w:val="20"/>
        </w:rPr>
        <w:t xml:space="preserve"> (Déclaration des dirigeants pour la nature), le Cadre mondial de la biodiversité de Kunming-Montréal adopté à la 15</w:t>
      </w:r>
      <w:r w:rsidR="00AF2839" w:rsidRPr="00AF2839">
        <w:rPr>
          <w:rFonts w:ascii="Arial" w:hAnsi="Arial"/>
          <w:sz w:val="20"/>
          <w:vertAlign w:val="superscript"/>
        </w:rPr>
        <w:t>e</w:t>
      </w:r>
      <w:r>
        <w:rPr>
          <w:rFonts w:ascii="Arial" w:hAnsi="Arial"/>
          <w:sz w:val="20"/>
        </w:rPr>
        <w:t xml:space="preserve"> Conférence des Parties à la Convention sur la diversité biologique (CDB COP15) et l’Accord </w:t>
      </w:r>
      <w:r w:rsidR="00A647B1">
        <w:rPr>
          <w:rFonts w:ascii="Arial" w:hAnsi="Arial"/>
          <w:sz w:val="20"/>
        </w:rPr>
        <w:t>d</w:t>
      </w:r>
      <w:r>
        <w:rPr>
          <w:rFonts w:ascii="Arial" w:hAnsi="Arial"/>
          <w:sz w:val="20"/>
        </w:rPr>
        <w:t xml:space="preserve">e la </w:t>
      </w:r>
      <w:r w:rsidR="00A647B1">
        <w:rPr>
          <w:rFonts w:ascii="Arial" w:hAnsi="Arial"/>
          <w:sz w:val="20"/>
        </w:rPr>
        <w:t>CNU</w:t>
      </w:r>
      <w:r w:rsidR="00E57C5D">
        <w:rPr>
          <w:rFonts w:ascii="Arial" w:hAnsi="Arial"/>
          <w:sz w:val="20"/>
        </w:rPr>
        <w:t xml:space="preserve">DM </w:t>
      </w:r>
      <w:r>
        <w:rPr>
          <w:rFonts w:ascii="Arial" w:hAnsi="Arial"/>
          <w:sz w:val="20"/>
        </w:rPr>
        <w:t>portant sur la conservation et l’utilisation durable de la diversité biologique marine des zones ne relevant pas de la juridiction nationale (Accord BBNJ)</w:t>
      </w:r>
      <w:r w:rsidR="006F1E17">
        <w:rPr>
          <w:rFonts w:ascii="Arial" w:hAnsi="Arial"/>
          <w:sz w:val="20"/>
        </w:rPr>
        <w:t>,</w:t>
      </w:r>
      <w:r>
        <w:rPr>
          <w:rFonts w:ascii="Arial" w:hAnsi="Arial"/>
          <w:sz w:val="20"/>
        </w:rPr>
        <w:t xml:space="preserve"> adopté en 2023 ;</w:t>
      </w:r>
    </w:p>
    <w:p w14:paraId="1A805D68" w14:textId="77777777" w:rsidR="007B73CE" w:rsidRPr="007B73CE" w:rsidRDefault="007B73CE" w:rsidP="007B73CE">
      <w:pPr>
        <w:spacing w:after="0" w:line="240" w:lineRule="auto"/>
        <w:rPr>
          <w:rFonts w:ascii="Arial" w:eastAsia="Arial" w:hAnsi="Arial" w:cs="Arial"/>
          <w:sz w:val="20"/>
          <w:szCs w:val="20"/>
        </w:rPr>
      </w:pPr>
    </w:p>
    <w:p w14:paraId="0C2696B7" w14:textId="0D5BEC2E" w:rsidR="00AA5793" w:rsidRPr="00AA5793" w:rsidRDefault="00AA5793" w:rsidP="007B73CE">
      <w:pPr>
        <w:spacing w:after="0" w:line="240" w:lineRule="auto"/>
        <w:rPr>
          <w:rFonts w:ascii="Arial" w:eastAsia="Arial" w:hAnsi="Arial" w:cs="Arial"/>
          <w:b/>
          <w:bCs/>
          <w:sz w:val="20"/>
          <w:szCs w:val="20"/>
        </w:rPr>
      </w:pPr>
      <w:r>
        <w:rPr>
          <w:rFonts w:ascii="Arial" w:hAnsi="Arial"/>
          <w:b/>
          <w:sz w:val="20"/>
        </w:rPr>
        <w:t>Le Congrès mondial de la nature 2025 de l’UICN, lors de sa session à Abou Dhabi, Émirats arabes unis :</w:t>
      </w:r>
    </w:p>
    <w:p w14:paraId="78F9FAE2" w14:textId="77777777" w:rsidR="003F55BE" w:rsidRDefault="003F55BE" w:rsidP="007B73CE">
      <w:pPr>
        <w:spacing w:after="0" w:line="240" w:lineRule="auto"/>
        <w:rPr>
          <w:rFonts w:ascii="Arial" w:eastAsia="Arial" w:hAnsi="Arial" w:cs="Arial"/>
          <w:sz w:val="20"/>
          <w:szCs w:val="20"/>
        </w:rPr>
      </w:pPr>
    </w:p>
    <w:p w14:paraId="1F3C63A9" w14:textId="07AF355F" w:rsidR="00206ACD" w:rsidRPr="007B73CE" w:rsidRDefault="00206ACD" w:rsidP="00206ACD">
      <w:pPr>
        <w:spacing w:after="0" w:line="240" w:lineRule="auto"/>
        <w:rPr>
          <w:rFonts w:ascii="Arial" w:eastAsia="Arial" w:hAnsi="Arial" w:cs="Arial"/>
          <w:sz w:val="20"/>
          <w:szCs w:val="20"/>
        </w:rPr>
      </w:pPr>
      <w:r>
        <w:rPr>
          <w:rFonts w:ascii="Arial" w:hAnsi="Arial"/>
          <w:sz w:val="20"/>
        </w:rPr>
        <w:t xml:space="preserve">1. DEMANDE au Directeur général et aux Commissions, dans le cadre de la mise en œuvre du Programme de l'UICN 2026-2029, de promouvoir cette Résolution auprès des ORGP, des autres instruments et cadres juridiques pertinents ainsi </w:t>
      </w:r>
      <w:r w:rsidR="00EA3F9A">
        <w:rPr>
          <w:rFonts w:ascii="Arial" w:hAnsi="Arial"/>
          <w:sz w:val="20"/>
        </w:rPr>
        <w:t>qu</w:t>
      </w:r>
      <w:r w:rsidR="00923A8A">
        <w:rPr>
          <w:rFonts w:ascii="Arial" w:hAnsi="Arial"/>
          <w:sz w:val="20"/>
        </w:rPr>
        <w:t>’auprès</w:t>
      </w:r>
      <w:r w:rsidR="00EA3F9A">
        <w:rPr>
          <w:rFonts w:ascii="Arial" w:hAnsi="Arial"/>
          <w:sz w:val="20"/>
        </w:rPr>
        <w:t xml:space="preserve"> </w:t>
      </w:r>
      <w:r>
        <w:rPr>
          <w:rFonts w:ascii="Arial" w:hAnsi="Arial"/>
          <w:sz w:val="20"/>
        </w:rPr>
        <w:t xml:space="preserve">des organes mondiaux, régionaux, sous-régionaux et sectoriels et </w:t>
      </w:r>
      <w:r w:rsidR="001B06DA">
        <w:rPr>
          <w:rFonts w:ascii="Arial" w:hAnsi="Arial"/>
          <w:sz w:val="20"/>
        </w:rPr>
        <w:t>des</w:t>
      </w:r>
      <w:r>
        <w:rPr>
          <w:rFonts w:ascii="Arial" w:hAnsi="Arial"/>
          <w:sz w:val="20"/>
        </w:rPr>
        <w:t xml:space="preserve"> États à titre individuel.</w:t>
      </w:r>
    </w:p>
    <w:p w14:paraId="353722BC" w14:textId="77777777" w:rsidR="00206ACD" w:rsidRDefault="00206ACD" w:rsidP="007B73CE">
      <w:pPr>
        <w:spacing w:after="0" w:line="240" w:lineRule="auto"/>
        <w:rPr>
          <w:rFonts w:ascii="Arial" w:eastAsia="Arial" w:hAnsi="Arial" w:cs="Arial"/>
          <w:sz w:val="20"/>
          <w:szCs w:val="20"/>
        </w:rPr>
      </w:pPr>
    </w:p>
    <w:p w14:paraId="7965343D" w14:textId="57DACF36" w:rsidR="003F55BE" w:rsidRDefault="00206ACD" w:rsidP="007B73CE">
      <w:pPr>
        <w:spacing w:after="0" w:line="240" w:lineRule="auto"/>
        <w:rPr>
          <w:rFonts w:ascii="Arial" w:hAnsi="Arial" w:cs="Arial"/>
          <w:sz w:val="20"/>
          <w:szCs w:val="20"/>
        </w:rPr>
      </w:pPr>
      <w:r>
        <w:rPr>
          <w:rFonts w:ascii="Arial" w:hAnsi="Arial"/>
          <w:sz w:val="20"/>
        </w:rPr>
        <w:t>2. APPELLE tous les États Membres, à titre individuel, mais aussi au travers des ORGP/ARGP, des instruments et cadres juridiques ainsi que des organes mondiaux, régionaux, sous-régionaux et sectoriels pertinents, à :</w:t>
      </w:r>
    </w:p>
    <w:p w14:paraId="11153591" w14:textId="77777777" w:rsidR="003F55BE" w:rsidRDefault="003F55BE" w:rsidP="007B73CE">
      <w:pPr>
        <w:spacing w:after="0" w:line="240" w:lineRule="auto"/>
        <w:rPr>
          <w:rFonts w:ascii="Arial" w:hAnsi="Arial" w:cs="Arial"/>
          <w:sz w:val="20"/>
          <w:szCs w:val="20"/>
        </w:rPr>
      </w:pPr>
    </w:p>
    <w:p w14:paraId="04171037" w14:textId="2F33F780" w:rsidR="003F55BE" w:rsidRDefault="1F69409D" w:rsidP="007B73CE">
      <w:pPr>
        <w:spacing w:after="0" w:line="240" w:lineRule="auto"/>
        <w:rPr>
          <w:rFonts w:ascii="Arial" w:hAnsi="Arial" w:cs="Arial"/>
          <w:sz w:val="20"/>
          <w:szCs w:val="20"/>
        </w:rPr>
      </w:pPr>
      <w:r>
        <w:rPr>
          <w:rFonts w:ascii="Arial" w:hAnsi="Arial"/>
          <w:sz w:val="20"/>
        </w:rPr>
        <w:t xml:space="preserve">a. mettre pleinement en œuvre les résolutions de l’Assemblée générale des Nations Unies (y compris les Résolutions 61/105 (2006), 64/72 (2009) et 79/145 (2024)) qui appellent à protéger les écosystèmes marins vulnérables, notamment les monts </w:t>
      </w:r>
      <w:r w:rsidR="00923A8A">
        <w:rPr>
          <w:rFonts w:ascii="Arial" w:hAnsi="Arial"/>
          <w:sz w:val="20"/>
        </w:rPr>
        <w:t>sous-marins</w:t>
      </w:r>
      <w:r>
        <w:rPr>
          <w:rFonts w:ascii="Arial" w:hAnsi="Arial"/>
          <w:sz w:val="20"/>
        </w:rPr>
        <w:t xml:space="preserve">, les coraux d’eau froide et les  évents hydrothermaux situés dans les zones ne relevant pas de la juridiction nationale contre les pratiques de pêche destructrices, à l’instar du chalutage de fond, reconnaissant l’importance et la </w:t>
      </w:r>
      <w:proofErr w:type="gramStart"/>
      <w:r>
        <w:rPr>
          <w:rFonts w:ascii="Arial" w:hAnsi="Arial"/>
          <w:sz w:val="20"/>
        </w:rPr>
        <w:lastRenderedPageBreak/>
        <w:t>valeur</w:t>
      </w:r>
      <w:proofErr w:type="gramEnd"/>
      <w:r>
        <w:rPr>
          <w:rFonts w:ascii="Arial" w:hAnsi="Arial"/>
          <w:sz w:val="20"/>
        </w:rPr>
        <w:t xml:space="preserve"> immenses des écosystèmes des grands fonds marins et de la diversité biologique qu’ils renferment ;</w:t>
      </w:r>
    </w:p>
    <w:p w14:paraId="37F313A1" w14:textId="77777777" w:rsidR="003F55BE" w:rsidRDefault="003F55BE" w:rsidP="007B73CE">
      <w:pPr>
        <w:spacing w:after="0" w:line="240" w:lineRule="auto"/>
        <w:rPr>
          <w:rFonts w:ascii="Arial" w:hAnsi="Arial" w:cs="Arial"/>
          <w:sz w:val="20"/>
          <w:szCs w:val="20"/>
        </w:rPr>
      </w:pPr>
    </w:p>
    <w:p w14:paraId="5EF691E7" w14:textId="139BBC9A" w:rsidR="003F55BE" w:rsidRDefault="1F69409D" w:rsidP="007B73CE">
      <w:pPr>
        <w:spacing w:after="0" w:line="240" w:lineRule="auto"/>
        <w:rPr>
          <w:rFonts w:ascii="Arial" w:hAnsi="Arial" w:cs="Arial"/>
          <w:sz w:val="20"/>
          <w:szCs w:val="20"/>
        </w:rPr>
      </w:pPr>
      <w:r>
        <w:rPr>
          <w:rFonts w:ascii="Arial" w:hAnsi="Arial"/>
          <w:sz w:val="20"/>
        </w:rPr>
        <w:t>b. soutenir et plaider pour la protection des monts sous-marins et des monts sous-marins interconnectés (réseaux) ainsi que des espèces associées aux monts sous-marins comme les baleines, les requins, les écosystèmes marins vulnérables et les stocks de poissons des zones pélagiques, auprès des ORGP/ARGP et des autres instruments et cadres juridiques ainsi que des organes mondiaux, régionaux, sous-régionaux et sectoriels pertinents ;</w:t>
      </w:r>
      <w:r w:rsidR="008F7B8F">
        <w:rPr>
          <w:rFonts w:ascii="Arial" w:hAnsi="Arial"/>
          <w:sz w:val="20"/>
        </w:rPr>
        <w:t xml:space="preserve"> et</w:t>
      </w:r>
    </w:p>
    <w:p w14:paraId="4EC277A1" w14:textId="77777777" w:rsidR="003F55BE" w:rsidRDefault="003F55BE" w:rsidP="007B73CE">
      <w:pPr>
        <w:spacing w:after="0" w:line="240" w:lineRule="auto"/>
        <w:rPr>
          <w:rFonts w:ascii="Arial" w:hAnsi="Arial" w:cs="Arial"/>
          <w:sz w:val="20"/>
          <w:szCs w:val="20"/>
        </w:rPr>
      </w:pPr>
    </w:p>
    <w:p w14:paraId="1E99803C" w14:textId="52A8BCEF" w:rsidR="003F55BE" w:rsidRDefault="1F69409D" w:rsidP="007B73CE">
      <w:pPr>
        <w:spacing w:after="0" w:line="240" w:lineRule="auto"/>
        <w:rPr>
          <w:rFonts w:ascii="Arial" w:hAnsi="Arial" w:cs="Arial"/>
          <w:sz w:val="20"/>
          <w:szCs w:val="20"/>
        </w:rPr>
      </w:pPr>
      <w:r>
        <w:rPr>
          <w:rFonts w:ascii="Arial" w:hAnsi="Arial"/>
          <w:sz w:val="20"/>
        </w:rPr>
        <w:t xml:space="preserve">c. soutenir et opérer une transition vers la fin des pratiques de pêche destructrices au niveau des monts sous-marins et des autres écosystèmes marins vulnérables avant l’Atelier des Nations Unies sur la pêche au chalut de fond en 2026 et </w:t>
      </w:r>
      <w:r w:rsidR="00CE5C5F">
        <w:rPr>
          <w:rFonts w:ascii="Arial" w:hAnsi="Arial"/>
          <w:sz w:val="20"/>
        </w:rPr>
        <w:t>le</w:t>
      </w:r>
      <w:r>
        <w:rPr>
          <w:rFonts w:ascii="Arial" w:hAnsi="Arial"/>
          <w:sz w:val="20"/>
        </w:rPr>
        <w:t xml:space="preserve"> rapport du Secrétaire</w:t>
      </w:r>
      <w:r w:rsidR="006F1E17">
        <w:rPr>
          <w:rFonts w:ascii="Arial" w:hAnsi="Arial"/>
          <w:sz w:val="20"/>
        </w:rPr>
        <w:t xml:space="preserve"> </w:t>
      </w:r>
      <w:r>
        <w:rPr>
          <w:rFonts w:ascii="Arial" w:hAnsi="Arial"/>
          <w:sz w:val="20"/>
        </w:rPr>
        <w:t>général soumis pour examen par l’Assemblée générale des Nations Unies à sa 81</w:t>
      </w:r>
      <w:r w:rsidR="00923A8A" w:rsidRPr="00923A8A">
        <w:rPr>
          <w:rFonts w:ascii="Arial" w:hAnsi="Arial"/>
          <w:sz w:val="20"/>
          <w:vertAlign w:val="superscript"/>
        </w:rPr>
        <w:t>e</w:t>
      </w:r>
      <w:r>
        <w:rPr>
          <w:rFonts w:ascii="Arial" w:hAnsi="Arial"/>
          <w:sz w:val="20"/>
        </w:rPr>
        <w:t xml:space="preserve"> session en 2026.</w:t>
      </w:r>
    </w:p>
    <w:p w14:paraId="0671C304" w14:textId="77777777" w:rsidR="003F55BE" w:rsidRDefault="003F55BE" w:rsidP="007B73CE">
      <w:pPr>
        <w:spacing w:after="0" w:line="240" w:lineRule="auto"/>
        <w:rPr>
          <w:rFonts w:ascii="Arial" w:hAnsi="Arial" w:cs="Arial"/>
          <w:sz w:val="20"/>
          <w:szCs w:val="20"/>
        </w:rPr>
      </w:pPr>
    </w:p>
    <w:sectPr w:rsidR="003F55BE" w:rsidSect="0078590B">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857B7" w14:textId="77777777" w:rsidR="00AD65A3" w:rsidRDefault="00AD65A3" w:rsidP="006F1E17">
      <w:pPr>
        <w:spacing w:after="0" w:line="240" w:lineRule="auto"/>
      </w:pPr>
      <w:r>
        <w:separator/>
      </w:r>
    </w:p>
  </w:endnote>
  <w:endnote w:type="continuationSeparator" w:id="0">
    <w:p w14:paraId="150B6CB2" w14:textId="77777777" w:rsidR="00AD65A3" w:rsidRDefault="00AD65A3" w:rsidP="006F1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76437" w14:textId="77777777" w:rsidR="006F1E17" w:rsidRDefault="006F1E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56303" w14:textId="77777777" w:rsidR="006F1E17" w:rsidRDefault="006F1E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BC3DC" w14:textId="77777777" w:rsidR="006F1E17" w:rsidRDefault="006F1E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7C788" w14:textId="77777777" w:rsidR="00AD65A3" w:rsidRDefault="00AD65A3" w:rsidP="006F1E17">
      <w:pPr>
        <w:spacing w:after="0" w:line="240" w:lineRule="auto"/>
      </w:pPr>
      <w:r>
        <w:separator/>
      </w:r>
    </w:p>
  </w:footnote>
  <w:footnote w:type="continuationSeparator" w:id="0">
    <w:p w14:paraId="3B19033D" w14:textId="77777777" w:rsidR="00AD65A3" w:rsidRDefault="00AD65A3" w:rsidP="006F1E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FC679" w14:textId="77777777" w:rsidR="006F1E17" w:rsidRDefault="006F1E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C0DF5" w14:textId="77777777" w:rsidR="006F1E17" w:rsidRDefault="006F1E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3D008" w14:textId="77777777" w:rsidR="006F1E17" w:rsidRDefault="006F1E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8855620"/>
    <w:rsid w:val="001B06DA"/>
    <w:rsid w:val="001B5AA9"/>
    <w:rsid w:val="00206ACD"/>
    <w:rsid w:val="00235A1F"/>
    <w:rsid w:val="002708C3"/>
    <w:rsid w:val="002B2426"/>
    <w:rsid w:val="002E48DE"/>
    <w:rsid w:val="003F55BE"/>
    <w:rsid w:val="00411FA5"/>
    <w:rsid w:val="00415147"/>
    <w:rsid w:val="00416946"/>
    <w:rsid w:val="00451CFB"/>
    <w:rsid w:val="004B61F2"/>
    <w:rsid w:val="004E3255"/>
    <w:rsid w:val="005673E8"/>
    <w:rsid w:val="00570711"/>
    <w:rsid w:val="005718FB"/>
    <w:rsid w:val="0062770F"/>
    <w:rsid w:val="006F1E17"/>
    <w:rsid w:val="00743E6A"/>
    <w:rsid w:val="0078590B"/>
    <w:rsid w:val="007917BD"/>
    <w:rsid w:val="007B67AF"/>
    <w:rsid w:val="007B73CE"/>
    <w:rsid w:val="007E7E51"/>
    <w:rsid w:val="00885CAE"/>
    <w:rsid w:val="008B7165"/>
    <w:rsid w:val="008F7B8F"/>
    <w:rsid w:val="00923A8A"/>
    <w:rsid w:val="00971217"/>
    <w:rsid w:val="009A31A6"/>
    <w:rsid w:val="009F499C"/>
    <w:rsid w:val="00A01B34"/>
    <w:rsid w:val="00A5393A"/>
    <w:rsid w:val="00A603A4"/>
    <w:rsid w:val="00A647B1"/>
    <w:rsid w:val="00A6500E"/>
    <w:rsid w:val="00AA5793"/>
    <w:rsid w:val="00AD65A3"/>
    <w:rsid w:val="00AF2839"/>
    <w:rsid w:val="00B22652"/>
    <w:rsid w:val="00B74ADB"/>
    <w:rsid w:val="00B95F55"/>
    <w:rsid w:val="00BF5329"/>
    <w:rsid w:val="00C01EF2"/>
    <w:rsid w:val="00C5184F"/>
    <w:rsid w:val="00C83B4A"/>
    <w:rsid w:val="00CB45D8"/>
    <w:rsid w:val="00CE5C5F"/>
    <w:rsid w:val="00D06BC8"/>
    <w:rsid w:val="00D3507C"/>
    <w:rsid w:val="00D81E9D"/>
    <w:rsid w:val="00D82E0F"/>
    <w:rsid w:val="00DC4EAA"/>
    <w:rsid w:val="00DF00EC"/>
    <w:rsid w:val="00E170EE"/>
    <w:rsid w:val="00E57C5D"/>
    <w:rsid w:val="00EA3F9A"/>
    <w:rsid w:val="00EC2151"/>
    <w:rsid w:val="00EC31AC"/>
    <w:rsid w:val="00EF2A7B"/>
    <w:rsid w:val="18855620"/>
    <w:rsid w:val="1F69409D"/>
    <w:rsid w:val="3C9C1F1D"/>
    <w:rsid w:val="5A00216B"/>
    <w:rsid w:val="6CF9E8D1"/>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55620"/>
  <w15:chartTrackingRefBased/>
  <w15:docId w15:val="{B0015391-E4FF-4268-B3E9-C81B0DFDB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CommentReference">
    <w:name w:val="annotation reference"/>
    <w:basedOn w:val="DefaultParagraphFont"/>
    <w:uiPriority w:val="99"/>
    <w:semiHidden/>
    <w:unhideWhenUsed/>
    <w:rsid w:val="00EC31AC"/>
    <w:rPr>
      <w:sz w:val="16"/>
      <w:szCs w:val="16"/>
    </w:rPr>
  </w:style>
  <w:style w:type="paragraph" w:styleId="CommentText">
    <w:name w:val="annotation text"/>
    <w:basedOn w:val="Normal"/>
    <w:link w:val="CommentTextChar"/>
    <w:uiPriority w:val="99"/>
    <w:unhideWhenUsed/>
    <w:rsid w:val="00EC31AC"/>
    <w:pPr>
      <w:spacing w:line="240" w:lineRule="auto"/>
    </w:pPr>
    <w:rPr>
      <w:sz w:val="20"/>
      <w:szCs w:val="20"/>
    </w:rPr>
  </w:style>
  <w:style w:type="character" w:customStyle="1" w:styleId="CommentTextChar">
    <w:name w:val="Comment Text Char"/>
    <w:basedOn w:val="DefaultParagraphFont"/>
    <w:link w:val="CommentText"/>
    <w:uiPriority w:val="99"/>
    <w:rsid w:val="00EC31AC"/>
    <w:rPr>
      <w:sz w:val="20"/>
      <w:szCs w:val="20"/>
    </w:rPr>
  </w:style>
  <w:style w:type="paragraph" w:styleId="CommentSubject">
    <w:name w:val="annotation subject"/>
    <w:basedOn w:val="CommentText"/>
    <w:next w:val="CommentText"/>
    <w:link w:val="CommentSubjectChar"/>
    <w:uiPriority w:val="99"/>
    <w:semiHidden/>
    <w:unhideWhenUsed/>
    <w:rsid w:val="00EC31AC"/>
    <w:rPr>
      <w:b/>
      <w:bCs/>
    </w:rPr>
  </w:style>
  <w:style w:type="character" w:customStyle="1" w:styleId="CommentSubjectChar">
    <w:name w:val="Comment Subject Char"/>
    <w:basedOn w:val="CommentTextChar"/>
    <w:link w:val="CommentSubject"/>
    <w:uiPriority w:val="99"/>
    <w:semiHidden/>
    <w:rsid w:val="00EC31AC"/>
    <w:rPr>
      <w:b/>
      <w:bCs/>
      <w:sz w:val="20"/>
      <w:szCs w:val="20"/>
    </w:rPr>
  </w:style>
  <w:style w:type="character" w:styleId="Hyperlink">
    <w:name w:val="Hyperlink"/>
    <w:basedOn w:val="DefaultParagraphFont"/>
    <w:uiPriority w:val="99"/>
    <w:unhideWhenUsed/>
    <w:rsid w:val="00EC31AC"/>
    <w:rPr>
      <w:color w:val="467886" w:themeColor="hyperlink"/>
      <w:u w:val="single"/>
    </w:rPr>
  </w:style>
  <w:style w:type="character" w:styleId="UnresolvedMention">
    <w:name w:val="Unresolved Mention"/>
    <w:basedOn w:val="DefaultParagraphFont"/>
    <w:uiPriority w:val="99"/>
    <w:semiHidden/>
    <w:unhideWhenUsed/>
    <w:rsid w:val="00EC31AC"/>
    <w:rPr>
      <w:color w:val="605E5C"/>
      <w:shd w:val="clear" w:color="auto" w:fill="E1DFDD"/>
    </w:rPr>
  </w:style>
  <w:style w:type="paragraph" w:styleId="Revision">
    <w:name w:val="Revision"/>
    <w:hidden/>
    <w:uiPriority w:val="99"/>
    <w:semiHidden/>
    <w:rsid w:val="00D82E0F"/>
    <w:pPr>
      <w:spacing w:after="0" w:line="240" w:lineRule="auto"/>
    </w:pPr>
  </w:style>
  <w:style w:type="paragraph" w:styleId="ListParagraph">
    <w:name w:val="List Paragraph"/>
    <w:basedOn w:val="Normal"/>
    <w:uiPriority w:val="34"/>
    <w:qFormat/>
    <w:rsid w:val="002708C3"/>
    <w:pPr>
      <w:ind w:left="720"/>
      <w:contextualSpacing/>
    </w:pPr>
  </w:style>
  <w:style w:type="paragraph" w:styleId="Header">
    <w:name w:val="header"/>
    <w:basedOn w:val="Normal"/>
    <w:link w:val="HeaderChar"/>
    <w:uiPriority w:val="99"/>
    <w:unhideWhenUsed/>
    <w:rsid w:val="006F1E17"/>
    <w:pPr>
      <w:tabs>
        <w:tab w:val="center" w:pos="4536"/>
        <w:tab w:val="right" w:pos="9072"/>
      </w:tabs>
      <w:spacing w:after="0" w:line="240" w:lineRule="auto"/>
    </w:pPr>
  </w:style>
  <w:style w:type="character" w:customStyle="1" w:styleId="HeaderChar">
    <w:name w:val="Header Char"/>
    <w:basedOn w:val="DefaultParagraphFont"/>
    <w:link w:val="Header"/>
    <w:uiPriority w:val="99"/>
    <w:rsid w:val="006F1E17"/>
  </w:style>
  <w:style w:type="paragraph" w:styleId="Footer">
    <w:name w:val="footer"/>
    <w:basedOn w:val="Normal"/>
    <w:link w:val="FooterChar"/>
    <w:uiPriority w:val="99"/>
    <w:unhideWhenUsed/>
    <w:rsid w:val="006F1E17"/>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1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995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5F2FA10-ADC0-4BDC-94B8-431E7550A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06E1BD7-9525-435C-A116-4E2D5BBA4C30}">
  <ds:schemaRefs>
    <ds:schemaRef ds:uri="http://schemas.microsoft.com/sharepoint/v3/contenttype/forms"/>
  </ds:schemaRefs>
</ds:datastoreItem>
</file>

<file path=customXml/itemProps3.xml><?xml version="1.0" encoding="utf-8"?>
<ds:datastoreItem xmlns:ds="http://schemas.openxmlformats.org/officeDocument/2006/customXml" ds:itemID="{16AB429C-C913-4170-8E67-B75DBF83EE3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704</Words>
  <Characters>4019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MURITH Deborah</cp:lastModifiedBy>
  <cp:revision>3</cp:revision>
  <dcterms:created xsi:type="dcterms:W3CDTF">2025-04-12T11:31:00Z</dcterms:created>
  <dcterms:modified xsi:type="dcterms:W3CDTF">2025-04-15T10:56:00Z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